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4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Договор №</w:t>
      </w:r>
      <w:r>
        <w:rPr>
          <w:rFonts w:ascii="Times New Roman" w:hAnsi="Times New Roman"/>
          <w:sz w:val="24"/>
        </w:rPr>
        <w:t>___________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  <w:highlight w:val="yellow"/>
        </w:rPr>
        <w:t xml:space="preserve">. Москва </w:t>
      </w:r>
      <w:r>
        <w:rPr>
          <w:rFonts w:ascii="Times New Roman" w:hAnsi="Times New Roman"/>
          <w:sz w:val="24"/>
        </w:rPr>
        <w:t xml:space="preserve">или Московской области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«____»________________20__ г.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</w:rPr>
        <w:t xml:space="preserve">_______________________________________________, именуемый в дальнейшем «Заказчик», с одной стороны и Индивидуальный предприниматель </w:t>
      </w:r>
      <w:r>
        <w:rPr>
          <w:rFonts w:ascii="Times New Roman" w:hAnsi="Times New Roman"/>
          <w:b/>
          <w:bCs/>
          <w:sz w:val="24"/>
          <w:highlight w:val="yellow"/>
        </w:rPr>
        <w:t>Рябцев Артем Анатольевич</w:t>
      </w:r>
      <w:r>
        <w:rPr>
          <w:rFonts w:ascii="Times New Roman" w:hAnsi="Times New Roman"/>
          <w:sz w:val="24"/>
        </w:rPr>
        <w:t xml:space="preserve">, действующий на основании Свидетельства </w:t>
      </w:r>
      <w:r>
        <w:rPr>
          <w:rFonts w:ascii="Times New Roman" w:hAnsi="Times New Roman"/>
          <w:sz w:val="24"/>
          <w:highlight w:val="yellow"/>
        </w:rPr>
        <w:t>№ _</w:t>
      </w:r>
      <w:r>
        <w:rPr>
          <w:rFonts w:ascii="DejaVuSans" w:hAnsi="DejaVuSans"/>
          <w:b/>
          <w:bCs/>
          <w:i w:val="false"/>
          <w:color w:val="000000"/>
          <w:sz w:val="26"/>
          <w:szCs w:val="26"/>
          <w:highlight w:val="yellow"/>
        </w:rPr>
        <w:t xml:space="preserve">501209131956 </w:t>
      </w:r>
      <w:r>
        <w:rPr>
          <w:rFonts w:ascii="Times New Roman" w:hAnsi="Times New Roman"/>
          <w:sz w:val="24"/>
          <w:highlight w:val="yellow"/>
        </w:rPr>
        <w:t>_</w:t>
      </w:r>
      <w:r>
        <w:rPr>
          <w:rFonts w:ascii="Times New Roman" w:hAnsi="Times New Roman"/>
          <w:sz w:val="24"/>
        </w:rPr>
        <w:t>, именуемый в дальнейшем «Подрядчик», с другой стороны, совместно именуемые «Стороны», заключили настоящий договор о нижеследующем:</w:t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Подрядчик обязуется в установленный договором срок произвести ремонтно- отделочные работы, а именно по приложенной дополнительно к договору Договор-Смета  в которой указан перечень ремонтно отделочных работа болей детально </w:t>
      </w:r>
      <w:r>
        <w:rPr>
          <w:rFonts w:ascii="Times New Roman" w:hAnsi="Times New Roman"/>
          <w:b/>
          <w:bCs/>
          <w:sz w:val="24"/>
        </w:rPr>
        <w:t>по адресу:__________________________________________________________________________</w:t>
      </w:r>
      <w:r>
        <w:rPr>
          <w:rFonts w:ascii="Times New Roman" w:hAnsi="Times New Roman"/>
          <w:sz w:val="24"/>
        </w:rPr>
        <w:t xml:space="preserve"> Заказчик обязуется обеспечить материалами Подрядчика.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обязуется в случае надлежащего выполнения работ оплатить Подрядчику работы согласно смете и перечню материалов.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Работа считается выполненной после </w:t>
      </w:r>
      <w:r>
        <w:rPr>
          <w:rFonts w:ascii="Times New Roman" w:hAnsi="Times New Roman"/>
          <w:color w:val="000000" w:themeColor="text1"/>
          <w:sz w:val="24"/>
        </w:rPr>
        <w:t xml:space="preserve">проверки  и принятием выполненных работ Заказчиком </w:t>
      </w:r>
      <w:r>
        <w:rPr>
          <w:rFonts w:ascii="Times New Roman" w:hAnsi="Times New Roman"/>
          <w:sz w:val="24"/>
        </w:rPr>
        <w:t xml:space="preserve">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Права и обязанности сторон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обязан:</w:t>
      </w:r>
    </w:p>
    <w:p>
      <w:pPr>
        <w:pStyle w:val="Normal"/>
        <w:numPr>
          <w:ilvl w:val="2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Выполнить своими силами, либо привлечением сторонних организаций, определенные настоящим Договором работы в </w:t>
      </w:r>
      <w:r>
        <w:rPr>
          <w:rFonts w:ascii="Times New Roman" w:hAnsi="Times New Roman"/>
          <w:b/>
          <w:bCs/>
          <w:sz w:val="24"/>
        </w:rPr>
        <w:t>срок с «___» ______ _____г. по «__»   _________ _____г.,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специалистами, имеющими подтверждённый опыт выполнения аналогичных работ. Подрядчик обязан производить фото фиксацию всех этапов: промежуточный и финальный результат с передачей фото Заказчику,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</w:rPr>
        <w:t>сроки могут корректироваться по взаимной договоренности, и в случае увеличения объема выполняемых работ, Подрядчик вправе увеличить срок выполняемых работ.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Производить работы в полном соответствии с техническим заданием, проектами, строительными нормами и правилами, планировкой помещения Заказчика.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полученные в ходе строительства указания Заказчика, если такие указания не противоречат настоящему Договору. В случае нанесения ущерба в ходе работ Заказчику или третьим лицам, возместить ущерб пострадавшей стороне.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процессе выполнения работ выясняется их дальнейшая нецелесообразность, Подрядчик обязан приостановить работы, поставив об этом в известность Заказчика в однодневный срок после принятия данного решения.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этом случае Стороны обязаны в трехдневный срок рассмотреть вопрос о целесообразности продолжения работ с оформлением надлежащих документов.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вправе назначить ответственное лицо по выполнению работ.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обязуется приступить к выполнению работ в течении 1 (одного) календарного дня после предоставления помещения и материалов для выполнения работ со стороны Заказчика.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обязан: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Оплатить работу Подрядчика, в случае надлежащего исполнения работ.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Передать Подрядчику план помещения не позднее 1 (одного) календарного дня до начала работ. К началу работ освободить помещение, в котором будут проводиться работы. Предметы интерьера и мебели вносятся Заказчиком в помещение после выполнения всех работ и ее оплаты Подрядчику.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помещения, в которых будут проводиться работы, водоснабжением и электропитанием.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 обеспечивать работы всеми необходимыми материалами (в случае их самостоятельного приобретения Заказчиком) в соответствии с настоящим Договором.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требованию Подрядчика обеспечить необходимые для проведения работ, а именно:</w:t>
      </w:r>
    </w:p>
    <w:p>
      <w:pPr>
        <w:pStyle w:val="Normal"/>
        <w:numPr>
          <w:ilvl w:val="3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возможность отключения стояков отопления и водоснабжения, опрессовки системы, если будут проводится сантехнические работы.</w:t>
      </w:r>
    </w:p>
    <w:p>
      <w:pPr>
        <w:pStyle w:val="Normal"/>
        <w:numPr>
          <w:ilvl w:val="3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доступа к объекту для всех членов бригады.</w:t>
      </w:r>
    </w:p>
    <w:p>
      <w:pPr>
        <w:pStyle w:val="Normal"/>
        <w:numPr>
          <w:ilvl w:val="3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отключения водоснабжения.</w:t>
      </w:r>
    </w:p>
    <w:p>
      <w:pPr>
        <w:pStyle w:val="Normal"/>
        <w:numPr>
          <w:ilvl w:val="3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Согласование с контролирующими и эксплуатирующими организациями проводимых работ и перепланировок.</w:t>
      </w:r>
    </w:p>
    <w:p>
      <w:pPr>
        <w:pStyle w:val="Normal"/>
        <w:numPr>
          <w:ilvl w:val="2"/>
          <w:numId w:val="1"/>
        </w:numPr>
        <w:jc w:val="both"/>
        <w:rPr/>
      </w:pPr>
      <w:r>
        <w:rPr>
          <w:rFonts w:ascii="Times New Roman" w:hAnsi="Times New Roman"/>
          <w:sz w:val="24"/>
        </w:rPr>
        <w:t>Принять выполненные Подрядчиком работы на основании  сдачи-приемки   выполненных работ.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имеет право: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грубого нарушения Договора Подрядчиком, расторгнуть настоящий Договор. В этом случае Заказчик обязан уплатить Подрядчику часть установленной цены, согласно смете, за качественно произведенные работы и поставленные материалы.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договоренности с Подрядчиком, имеет право изменять перечень работ. В этом случае услуги Подрядчика оплачиваются согласно фактически выполненным работам и затраченным материалам. Также должны быть скорректированы сроки окончания работ.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надзор за качеством выполняемых работ, соблюдением сроков их исполнения, не вмешиваясь при этом в хозяйственную деятельность Подрядчика.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Порядок приемки и оплаты работ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Заказчик обязан принять выполненные работы или письменно уведомить о несогласии с качеством и объемами выполненных работ в течении 1 (одного) рабочего дня после официального уведомления и предоставления ему выполненных работ. </w:t>
      </w:r>
      <w:r>
        <w:rPr>
          <w:rFonts w:ascii="Times New Roman" w:hAnsi="Times New Roman"/>
          <w:color w:val="000000" w:themeColor="text1"/>
          <w:sz w:val="24"/>
        </w:rPr>
        <w:t xml:space="preserve">Проверка осуществляется в течение 1 (одного) рабочего дня специалистом технадзора со стороны Заказчика после уведомления Подрядчика о готовности работ, далее сдачи-приемки и оплачивается работа по </w:t>
      </w:r>
      <w:bookmarkStart w:id="0" w:name="__DdeLink__2058_609990832"/>
      <w:r>
        <w:rPr>
          <w:rFonts w:ascii="Times New Roman" w:hAnsi="Times New Roman"/>
          <w:color w:val="000000" w:themeColor="text1"/>
          <w:sz w:val="24"/>
        </w:rPr>
        <w:t xml:space="preserve">Договор-Смета  </w:t>
      </w:r>
      <w:bookmarkEnd w:id="0"/>
      <w:r>
        <w:rPr>
          <w:rFonts w:ascii="Times New Roman" w:hAnsi="Times New Roman"/>
          <w:color w:val="000000" w:themeColor="text1"/>
          <w:sz w:val="24"/>
        </w:rPr>
        <w:t>размере.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color w:val="000000" w:themeColor="text1"/>
          <w:sz w:val="24"/>
        </w:rPr>
        <w:t>Размер предоплаты составляет от 25% в день начала работ более точно указанно в Договор-Смета.  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Передача Заказчику результатов выполненных работ производится на месте их выполнения  </w:t>
      </w:r>
      <w:r>
        <w:rPr>
          <w:rFonts w:ascii="Times New Roman" w:hAnsi="Times New Roman"/>
          <w:color w:val="000000" w:themeColor="text1"/>
          <w:sz w:val="24"/>
        </w:rPr>
        <w:t>после уведомления Подрядчика о готовности работ.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недостатков во время приемки работ Заказчик может в течении общих сроков, предусмотренных ст.725 ГК РФ, а при наличии гарантийных сроков - в течении этих сроков, по своему выбору осуществить одно из предусмотренных ст.723 ГК РФ прав или потребовать исправление недостатков работ силами (Подрядчика) или силами третьих лиц.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>Заказчик обязуется оплатить выполненные работы Подрядчиком и принятые к оплате работы в срок не позднее 1 (одного) дня со дня  сдачи-приемки работ при условии, что работы выполнены надлежащим образом и в срок, установленный в настоящем Договоре, либо с согласия Заказчика, досрочно.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>Оплата работ производится путем внесения Заказчиком всей суммы Подрядчику после приемки выполненных работ.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Гарантии работ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гарантирует: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Надлежащее качество используемых материалов и конструкций, их соответствие государственным стандартам, техническим условиям, </w:t>
      </w:r>
      <w:r>
        <w:rPr>
          <w:rFonts w:ascii="Times New Roman" w:hAnsi="Times New Roman"/>
          <w:color w:val="000000" w:themeColor="text1"/>
          <w:sz w:val="24"/>
        </w:rPr>
        <w:t>независимо от того, кем были предоставлены материалы.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Ответственность за соблюдение технологии применения эпоксидной затирки, включая правильное смешивание компонентов, время жизнеспособности состава и условия нанесения. 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Своевременное устранение недостатков и дефектов, возникших по вине Подрядчика, выявленных при приемке работ, составляет не более 7 (семи) календарных дней с момента получения уведомления от Заказчика о выявлении таких недостатков.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Своевременное устранение недостатков и дефектов </w:t>
      </w:r>
      <w:r>
        <w:rPr>
          <w:rFonts w:ascii="Times New Roman" w:hAnsi="Times New Roman"/>
          <w:color w:val="000000" w:themeColor="text1"/>
          <w:sz w:val="24"/>
        </w:rPr>
        <w:t>(трескание, изменение цвета, отслоение, появление плесени)</w:t>
      </w:r>
      <w:r>
        <w:rPr>
          <w:rFonts w:ascii="Times New Roman" w:hAnsi="Times New Roman"/>
          <w:sz w:val="24"/>
        </w:rPr>
        <w:t>, возникших по вине Подрядчика, выявленных в гарантийный срок эксплуатации помещения. Срок устранения - 7 (семь) календарных дней с момента получения уведомления от Заказчика о выявлении таких недостатков.</w:t>
      </w:r>
    </w:p>
    <w:p>
      <w:pPr>
        <w:pStyle w:val="Normal"/>
        <w:numPr>
          <w:ilvl w:val="2"/>
          <w:numId w:val="1"/>
        </w:numPr>
        <w:jc w:val="both"/>
        <w:rPr/>
      </w:pPr>
      <w:r>
        <w:rPr>
          <w:rFonts w:ascii="Times New Roman" w:hAnsi="Times New Roman"/>
          <w:sz w:val="24"/>
        </w:rPr>
        <w:t>Гарантийный срок нормальной эксплуатации материалов, работ устанавливается на 24 (двадцать четыре) месяца с даты сдачи-приемки работ Сторонами.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Устранение дефектов за свой счёт, компенсацию стоимости новой аналогичной затирки и оплату повторных работ.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Указанные гарантии не распространяются на случаи преднамеренного повреждения со стороны третьих лиц и несоблюдения Заказчиком норм эксплуатации помещения.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Ответственность сторон 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Ущерб, нанесенный третьему лицу в результате выполнения работ по вине Подрядчика или Заказчика, компенсируется виновной Стороной.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За неисполнение работ Подрядчиком в указанные пунктом 2.1.1. сроки, произошедшие по его вине, Подрядчик выплачивает Заказчику неустойку в размере </w:t>
      </w:r>
      <w:bookmarkStart w:id="1" w:name="__DdeLink__166_2557584568"/>
      <w:r>
        <w:rPr>
          <w:rFonts w:ascii="Times New Roman" w:hAnsi="Times New Roman"/>
          <w:color w:val="000000" w:themeColor="text1"/>
          <w:sz w:val="24"/>
        </w:rPr>
        <w:t>0,</w:t>
      </w:r>
      <w:r>
        <w:rPr>
          <w:rFonts w:ascii="Times New Roman" w:hAnsi="Times New Roman"/>
          <w:color w:val="000000" w:themeColor="text1"/>
          <w:sz w:val="24"/>
          <w:lang w:val="en-US"/>
        </w:rPr>
        <w:t>5</w:t>
      </w:r>
      <w:r>
        <w:rPr>
          <w:rFonts w:ascii="Times New Roman" w:hAnsi="Times New Roman"/>
          <w:sz w:val="24"/>
        </w:rPr>
        <w:t xml:space="preserve"> </w:t>
      </w:r>
      <w:bookmarkEnd w:id="1"/>
      <w:r>
        <w:rPr>
          <w:rFonts w:ascii="Times New Roman" w:hAnsi="Times New Roman"/>
          <w:sz w:val="24"/>
        </w:rPr>
        <w:t>процента за каждый день просрочки от суммы Договора, но не более 10 (Десяти) процентов.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</w:rPr>
        <w:t xml:space="preserve">За задержку оплаты работ Заказчиком в указанные пунктами 3.3., и 3.4. сроки, Заказчик выплачивает Подрядчику неустойку в размере </w:t>
      </w:r>
      <w:r>
        <w:rPr>
          <w:rFonts w:ascii="Times New Roman" w:hAnsi="Times New Roman"/>
          <w:color w:val="000000" w:themeColor="text1"/>
          <w:sz w:val="24"/>
        </w:rPr>
        <w:t>0,</w:t>
      </w:r>
      <w:r>
        <w:rPr>
          <w:rFonts w:ascii="Times New Roman" w:hAnsi="Times New Roman"/>
          <w:color w:val="000000" w:themeColor="text1"/>
          <w:sz w:val="24"/>
          <w:lang w:val="en-US"/>
        </w:rPr>
        <w:t>5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процента за каждый день просрочки от суммы Договора, но не более 10 (Десяти) процентов.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Споры и разногласия, возникшие при исполнении настоящего Договора, будут разрешаться путем мирных переговоров в досудебном порядке.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В случае невозможности разрешения споров путем мирных переговоров спор рассматривается в </w:t>
      </w:r>
      <w:r>
        <w:rPr>
          <w:rFonts w:ascii="Times New Roman" w:hAnsi="Times New Roman"/>
          <w:color w:val="000000" w:themeColor="text1"/>
          <w:sz w:val="24"/>
        </w:rPr>
        <w:t xml:space="preserve">Суде общей юрисдикции города Москвы </w:t>
      </w:r>
      <w:r>
        <w:rPr>
          <w:rFonts w:ascii="Times New Roman" w:hAnsi="Times New Roman"/>
          <w:color w:val="000000" w:themeColor="text1"/>
          <w:sz w:val="24"/>
          <w:lang w:val="ru-RU"/>
        </w:rPr>
        <w:t>или Московской области</w:t>
      </w:r>
      <w:r>
        <w:rPr>
          <w:rFonts w:ascii="Times New Roman" w:hAnsi="Times New Roman"/>
          <w:color w:val="000000" w:themeColor="text1"/>
          <w:sz w:val="24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Форс-мажор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обстоятельств, вызванных действием непреодолимой силы, возникших после заключения Договора в результате событий чрезвычайного характера, которые соответствующая сторона Договора не могла ни предвидеть, ни предотвратить разумными мерами. К таким событиям чрезвычайного характера относят: наводнение, пожар, землетрясение , взрыв, шторм, оседание почвы, эпидемия и иные стихийные явления природы, война , военные действия, введение на соответствующей территории чрезвычайного или военного положения, изменение законодательства или иных нормативных актов, регулирующих необходимые условия контракта, иные события непредсказуемого характера, предотвратить которые имеющимися в распоряжении сторон силами и средствами не представлялось возможным. 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pStyle w:val="Normal"/>
        <w:numPr>
          <w:ilvl w:val="0"/>
          <w:numId w:val="1"/>
        </w:numPr>
        <w:ind w:firstLine="3735"/>
        <w:jc w:val="both"/>
        <w:rPr/>
      </w:pPr>
      <w:r>
        <w:rPr>
          <w:rFonts w:ascii="Times New Roman" w:hAnsi="Times New Roman"/>
          <w:b/>
          <w:sz w:val="24"/>
        </w:rPr>
        <w:t>Особые условия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вступает в силу со дня его подписания Сторонами.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составлен в двух экземплярах, имеющих одинаковую Юридическую силу, один из которых хранится у Подрядчика, а другой у Заказчика.</w:t>
      </w:r>
    </w:p>
    <w:p>
      <w:pPr>
        <w:pStyle w:val="Normal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коммунальные платежи во время ремонта оплачиваются Заказчиком.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ind w:firstLine="3735"/>
        <w:jc w:val="both"/>
        <w:rPr/>
      </w:pPr>
      <w:r>
        <w:rPr>
          <w:rFonts w:ascii="Times New Roman" w:hAnsi="Times New Roman"/>
          <w:b/>
          <w:sz w:val="24"/>
        </w:rPr>
        <w:t>Реквизиты и подписи сторон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                     </w:t>
      </w:r>
    </w:p>
    <w:p>
      <w:pPr>
        <w:pStyle w:val="ListParagraph"/>
        <w:ind w:left="1068" w:right="0" w:hanging="0"/>
        <w:rPr>
          <w:rFonts w:ascii="Times New Roman" w:hAnsi="Times New Roman"/>
          <w:b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ListParagraph"/>
        <w:ind w:left="1068" w:right="0" w:hanging="0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                            </w:t>
      </w:r>
      <w:r>
        <w:rPr>
          <w:rFonts w:ascii="Times New Roman" w:hAnsi="Times New Roman"/>
          <w:b/>
          <w:sz w:val="26"/>
          <w:szCs w:val="26"/>
          <w:highlight w:val="white"/>
        </w:rPr>
        <w:t>Подписи сторон</w:t>
      </w:r>
    </w:p>
    <w:p>
      <w:pPr>
        <w:pStyle w:val="LO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3"/>
        <w:gridCol w:w="5232"/>
      </w:tblGrid>
      <w:tr>
        <w:trPr>
          <w:trHeight w:val="4533" w:hRule="atLeast"/>
        </w:trPr>
        <w:tc>
          <w:tcPr>
            <w:tcW w:w="5233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before="120" w:after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Заказчик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____________________________________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Регистрация:_________________________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_____________________________________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Паспорт: серия_____номер 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Выдан:______________________________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Кем:________________________________</w:t>
            </w:r>
          </w:p>
          <w:p>
            <w:pPr>
              <w:pStyle w:val="ListParagraph"/>
              <w:widowControl/>
              <w:suppressAutoHyphens w:val="false"/>
              <w:spacing w:lineRule="auto" w:line="240" w:before="120" w:after="0"/>
              <w:ind w:left="0" w:right="0" w:hanging="0"/>
              <w:jc w:val="both"/>
              <w:textAlignment w:val="auto"/>
              <w:rPr/>
            </w:pPr>
            <w:bookmarkStart w:id="2" w:name="__DdeLink__860_1513696294"/>
            <w:r>
              <w:rPr>
                <w:rFonts w:cs="Times New Roman" w:ascii="Times New Roman" w:hAnsi="Times New Roman"/>
                <w:b/>
                <w:bCs w:val="false"/>
                <w:i w:val="false"/>
                <w:color w:val="000000"/>
                <w:sz w:val="22"/>
                <w:szCs w:val="22"/>
                <w:highlight w:val="white"/>
              </w:rPr>
              <w:t>Телефон:</w:t>
            </w:r>
            <w:bookmarkEnd w:id="2"/>
            <w:r>
              <w:rPr>
                <w:rFonts w:cs="Times New Roman" w:ascii="Times New Roman" w:hAnsi="Times New Roman"/>
                <w:b/>
                <w:bCs w:val="false"/>
                <w:i w:val="false"/>
                <w:color w:val="000000"/>
                <w:sz w:val="22"/>
                <w:szCs w:val="22"/>
                <w:highlight w:val="white"/>
              </w:rPr>
              <w:t>____________________________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Заказчик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both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</w:t>
            </w:r>
            <w:r>
              <w:rPr>
                <w:rFonts w:eastAsia="Arial" w:cs="Arial" w:ascii="Times New Roman" w:hAnsi="Times New Roman"/>
                <w:b/>
                <w:sz w:val="26"/>
                <w:szCs w:val="26"/>
                <w:highlight w:val="white"/>
              </w:rPr>
              <w:t xml:space="preserve">        </w:t>
            </w:r>
            <w:r>
              <w:rPr>
                <w:rFonts w:eastAsia="Arial" w:cs="Arial" w:ascii="Times New Roman" w:hAnsi="Times New Roman"/>
                <w:b/>
                <w:sz w:val="28"/>
                <w:szCs w:val="28"/>
                <w:highlight w:val="white"/>
              </w:rPr>
              <w:t xml:space="preserve">_____________ (___________ )   </w:t>
            </w:r>
          </w:p>
        </w:tc>
        <w:tc>
          <w:tcPr>
            <w:tcW w:w="5232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before="120" w:after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Подрядчик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Индивидуальный предприниматель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>Рябцев Артем Анатольевич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ИНН 501209131956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ОГРН/ОГРНИП 324508100161614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>Расчетный счёт: 40802810300000182885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Корр. счёт 30101810645374525068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Юр. адрес банка РФ, 123112, г. Москва, вн.тер.г. Муниципальный Округ Пресненский, Пресненская наб., дом 10, этаж 19 ИНН Банка 9703077050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ascii="DejaVuSans" w:hAnsi="DejaVuSans"/>
                <w:b/>
                <w:bCs/>
                <w:i w:val="false"/>
                <w:color w:val="000000"/>
                <w:sz w:val="26"/>
                <w:szCs w:val="26"/>
              </w:rPr>
              <w:t xml:space="preserve">БИК 044525068 / Банк ООО "ОЗОН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 w:val="22"/>
                <w:szCs w:val="22"/>
                <w:highlight w:val="white"/>
              </w:rPr>
              <w:t xml:space="preserve">Телефон: </w:t>
            </w:r>
            <w:r>
              <w:rPr>
                <w:rFonts w:ascii="DejaVuSans" w:hAnsi="DejaVuSans"/>
                <w:b/>
                <w:bCs/>
                <w:i w:val="false"/>
                <w:color w:val="000000"/>
                <w:sz w:val="22"/>
                <w:szCs w:val="22"/>
              </w:rPr>
              <w:t xml:space="preserve">8-977-600-69-67 8-995-900-91-95 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Подрядчик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left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both"/>
              <w:textAlignment w:val="auto"/>
              <w:rPr/>
            </w:pPr>
            <w:r>
              <w:rPr>
                <w:rFonts w:eastAsia="Arial" w:cs="Arial" w:ascii="Times New Roman" w:hAnsi="Times New Roman"/>
                <w:b/>
                <w:sz w:val="26"/>
                <w:szCs w:val="26"/>
                <w:highlight w:val="white"/>
              </w:rPr>
              <w:t xml:space="preserve">         </w:t>
            </w:r>
            <w:r>
              <w:rPr>
                <w:rFonts w:eastAsia="Arial" w:cs="Arial" w:ascii="Times New Roman" w:hAnsi="Times New Roman"/>
                <w:b/>
                <w:sz w:val="28"/>
                <w:szCs w:val="28"/>
                <w:highlight w:val="white"/>
              </w:rPr>
              <w:t xml:space="preserve">_____________ (___________ )   </w:t>
            </w:r>
          </w:p>
        </w:tc>
      </w:tr>
    </w:tbl>
    <w:p>
      <w:pPr>
        <w:pStyle w:val="ListParagraph"/>
        <w:ind w:left="1068" w:right="0" w:hanging="0"/>
        <w:jc w:val="both"/>
        <w:rPr>
          <w:rFonts w:ascii="Times New Roman" w:hAnsi="Times New Roman"/>
          <w:b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/>
        </w:rPr>
        <w:t>Дата подписи___________________________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Дата подписи___________________________</w:t>
      </w:r>
    </w:p>
    <w:p>
      <w:pPr>
        <w:pStyle w:val="Normal"/>
        <w:ind w:firstLine="3735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ind w:firstLine="3735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080" w:right="1080" w:header="0" w:top="768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DejaVuSan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  <w:rPr>
        <w:sz w:val="24"/>
        <w:b/>
        <w:rFonts w:ascii="Times New Roman" w:hAnsi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hanging="0"/>
      </w:pPr>
    </w:lvl>
    <w:lvl w:ilvl="2">
      <w:start w:val="1"/>
      <w:numFmt w:val="decimal"/>
      <w:suff w:val="space"/>
      <w:lvlText w:val="%1.%2.%3."/>
      <w:lvlJc w:val="left"/>
      <w:pPr>
        <w:ind w:left="0" w:hanging="0"/>
      </w:pPr>
    </w:lvl>
    <w:lvl w:ilvl="3">
      <w:start w:val="1"/>
      <w:numFmt w:val="decimal"/>
      <w:suff w:val="space"/>
      <w:lvlText w:val="%1.%2.%3.%4."/>
      <w:lvlJc w:val="left"/>
      <w:pPr>
        <w:ind w:left="0" w:hanging="0"/>
      </w:pPr>
    </w:lvl>
    <w:lvl w:ilvl="4">
      <w:start w:val="1"/>
      <w:numFmt w:val="decimal"/>
      <w:suff w:val="space"/>
      <w:lvlText w:val="%1.%2.%3.%4.%5."/>
      <w:lvlJc w:val="left"/>
      <w:pPr>
        <w:ind w:left="0" w:hanging="0"/>
      </w:pPr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</w:lvl>
    <w:lvl w:ilvl="7">
      <w:start w:val="1"/>
      <w:numFmt w:val="decimal"/>
      <w:suff w:val="space"/>
      <w:lvlText w:val="%1.%2.%3.%4.%5.%6.%7.%8."/>
      <w:lvlJc w:val="left"/>
      <w:pPr>
        <w:ind w:left="0" w:hanging="0"/>
      </w:pPr>
    </w:lvl>
    <w:lvl w:ilvl="8">
      <w:start w:val="1"/>
      <w:numFmt w:val="decimal"/>
      <w:suff w:val="space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0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0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0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0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Calibri" w:hAnsi="Calibri"/>
    </w:rPr>
  </w:style>
  <w:style w:type="character" w:styleId="2" w:customStyle="1">
    <w:name w:val="Оглавление 2 Знак"/>
    <w:link w:val="21"/>
    <w:qFormat/>
    <w:rPr>
      <w:rFonts w:ascii="XO Thames" w:hAnsi="XO Thames"/>
      <w:sz w:val="28"/>
    </w:rPr>
  </w:style>
  <w:style w:type="character" w:styleId="4" w:customStyle="1">
    <w:name w:val="Оглавление 4 Знак"/>
    <w:link w:val="41"/>
    <w:qFormat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Pr>
      <w:rFonts w:ascii="XO Thames" w:hAnsi="XO Thames"/>
      <w:sz w:val="28"/>
    </w:rPr>
  </w:style>
  <w:style w:type="character" w:styleId="Endnote" w:customStyle="1">
    <w:name w:val="Endnote"/>
    <w:link w:val="Endnote"/>
    <w:qFormat/>
    <w:rPr>
      <w:rFonts w:ascii="XO Thames" w:hAnsi="XO Thames"/>
      <w:sz w:val="22"/>
    </w:rPr>
  </w:style>
  <w:style w:type="character" w:styleId="3" w:customStyle="1">
    <w:name w:val="Заголовок 3 Знак"/>
    <w:link w:val="3"/>
    <w:qFormat/>
    <w:rPr>
      <w:rFonts w:ascii="XO Thames" w:hAnsi="XO Thames"/>
      <w:b/>
      <w:sz w:val="26"/>
    </w:rPr>
  </w:style>
  <w:style w:type="character" w:styleId="31" w:customStyle="1">
    <w:name w:val="Оглавление 3 Знак"/>
    <w:link w:val="31"/>
    <w:qFormat/>
    <w:rPr>
      <w:rFonts w:ascii="XO Thames" w:hAnsi="XO Thames"/>
      <w:sz w:val="28"/>
    </w:rPr>
  </w:style>
  <w:style w:type="character" w:styleId="5" w:customStyle="1">
    <w:name w:val="Заголовок 5 Знак"/>
    <w:link w:val="5"/>
    <w:qFormat/>
    <w:rPr>
      <w:rFonts w:ascii="XO Thames" w:hAnsi="XO Thames"/>
      <w:b/>
      <w:sz w:val="22"/>
    </w:rPr>
  </w:style>
  <w:style w:type="character" w:styleId="11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Style9" w:customStyle="1">
    <w:name w:val="Текст выноски Знак"/>
    <w:basedOn w:val="1"/>
    <w:link w:val="a3"/>
    <w:qFormat/>
    <w:rPr>
      <w:rFonts w:ascii="Segoe UI" w:hAnsi="Segoe UI"/>
      <w:sz w:val="18"/>
    </w:rPr>
  </w:style>
  <w:style w:type="character" w:styleId="InternetLink">
    <w:name w:val="Internet Link"/>
    <w:basedOn w:val="DefaultParagraphFont"/>
    <w:link w:val="12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sz w:val="22"/>
    </w:rPr>
  </w:style>
  <w:style w:type="character" w:styleId="12" w:customStyle="1">
    <w:name w:val="Оглавление 1 Знак"/>
    <w:link w:val="14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8"/>
    </w:rPr>
  </w:style>
  <w:style w:type="character" w:styleId="Style10" w:customStyle="1">
    <w:name w:val="Верхний колонтитул Знак"/>
    <w:basedOn w:val="1"/>
    <w:link w:val="a6"/>
    <w:qFormat/>
    <w:rPr>
      <w:rFonts w:ascii="Calibri" w:hAnsi="Calibri"/>
    </w:rPr>
  </w:style>
  <w:style w:type="character" w:styleId="9" w:customStyle="1">
    <w:name w:val="Оглавление 9 Знак"/>
    <w:link w:val="9"/>
    <w:qFormat/>
    <w:rPr>
      <w:rFonts w:ascii="XO Thames" w:hAnsi="XO Thames"/>
      <w:sz w:val="28"/>
    </w:rPr>
  </w:style>
  <w:style w:type="character" w:styleId="8" w:customStyle="1">
    <w:name w:val="Оглавление 8 Знак"/>
    <w:link w:val="8"/>
    <w:qFormat/>
    <w:rPr>
      <w:rFonts w:ascii="XO Thames" w:hAnsi="XO Thames"/>
      <w:sz w:val="28"/>
    </w:rPr>
  </w:style>
  <w:style w:type="character" w:styleId="51" w:customStyle="1">
    <w:name w:val="Оглавление 5 Знак"/>
    <w:link w:val="51"/>
    <w:qFormat/>
    <w:rPr>
      <w:rFonts w:ascii="XO Thames" w:hAnsi="XO Thames"/>
      <w:sz w:val="28"/>
    </w:rPr>
  </w:style>
  <w:style w:type="character" w:styleId="Style11" w:customStyle="1">
    <w:name w:val="Нижний колонтитул Знак"/>
    <w:basedOn w:val="1"/>
    <w:link w:val="a8"/>
    <w:qFormat/>
    <w:rPr>
      <w:rFonts w:ascii="Calibri" w:hAnsi="Calibri"/>
    </w:rPr>
  </w:style>
  <w:style w:type="character" w:styleId="Style12" w:customStyle="1">
    <w:name w:val="Подзаголовок Знак"/>
    <w:link w:val="aa"/>
    <w:qFormat/>
    <w:rPr>
      <w:rFonts w:ascii="XO Thames" w:hAnsi="XO Thames"/>
      <w:i/>
      <w:sz w:val="24"/>
    </w:rPr>
  </w:style>
  <w:style w:type="character" w:styleId="Style13" w:customStyle="1">
    <w:name w:val="Заголовок Знак"/>
    <w:link w:val="ac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link w:val="4"/>
    <w:qFormat/>
    <w:rPr>
      <w:rFonts w:ascii="XO Thames" w:hAnsi="XO Thames"/>
      <w:b/>
      <w:sz w:val="24"/>
    </w:rPr>
  </w:style>
  <w:style w:type="character" w:styleId="21" w:customStyle="1">
    <w:name w:val="Заголовок 2 Знак"/>
    <w:link w:val="2"/>
    <w:qFormat/>
    <w:rPr>
      <w:rFonts w:ascii="XO Thames" w:hAnsi="XO Thames"/>
      <w:b/>
      <w:sz w:val="28"/>
    </w:rPr>
  </w:style>
  <w:style w:type="character" w:styleId="ListLabel1">
    <w:name w:val="ListLabel 1"/>
    <w:qFormat/>
    <w:rPr>
      <w:rFonts w:ascii="Times New Roman" w:hAnsi="Times New Roman"/>
      <w:b/>
      <w:color w:val="auto"/>
      <w:sz w:val="24"/>
    </w:rPr>
  </w:style>
  <w:style w:type="character" w:styleId="ListLabel2">
    <w:name w:val="ListLabel 2"/>
    <w:qFormat/>
    <w:rPr>
      <w:rFonts w:ascii="Times New Roman" w:hAnsi="Times New Roman"/>
      <w:b/>
      <w:color w:val="auto"/>
      <w:sz w:val="24"/>
    </w:rPr>
  </w:style>
  <w:style w:type="character" w:styleId="ListLabel3">
    <w:name w:val="ListLabel 3"/>
    <w:qFormat/>
    <w:rPr>
      <w:rFonts w:ascii="Times New Roman" w:hAnsi="Times New Roman"/>
      <w:b/>
      <w:color w:val="auto"/>
      <w:sz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4">
    <w:name w:val="ListLabel 4"/>
    <w:qFormat/>
    <w:rPr>
      <w:rFonts w:ascii="Times New Roman" w:hAnsi="Times New Roman"/>
      <w:b/>
      <w:color w:val="auto"/>
      <w:sz w:val="24"/>
    </w:rPr>
  </w:style>
  <w:style w:type="character" w:styleId="ListLabel5">
    <w:name w:val="ListLabel 5"/>
    <w:qFormat/>
    <w:rPr>
      <w:rFonts w:ascii="Times New Roman" w:hAnsi="Times New Roman"/>
      <w:b/>
      <w:color w:val="auto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ts2">
    <w:name w:val="TOC 2"/>
    <w:next w:val="Normal"/>
    <w:link w:val="22"/>
    <w:uiPriority w:val="39"/>
    <w:pPr>
      <w:widowControl/>
      <w:bidi w:val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4">
    <w:name w:val="TOC 4"/>
    <w:next w:val="Normal"/>
    <w:link w:val="42"/>
    <w:uiPriority w:val="39"/>
    <w:pPr>
      <w:widowControl/>
      <w:bidi w:val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6">
    <w:name w:val="TOC 6"/>
    <w:next w:val="Normal"/>
    <w:link w:val="60"/>
    <w:uiPriority w:val="39"/>
    <w:pPr>
      <w:widowControl/>
      <w:bidi w:val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7">
    <w:name w:val="TOC 7"/>
    <w:next w:val="Normal"/>
    <w:link w:val="70"/>
    <w:uiPriority w:val="39"/>
    <w:pPr>
      <w:widowControl/>
      <w:bidi w:val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 Text"/>
    <w:link w:val="Endnote0"/>
    <w:pPr>
      <w:widowControl/>
      <w:bidi w:val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3">
    <w:name w:val="TOC 3"/>
    <w:next w:val="Normal"/>
    <w:link w:val="32"/>
    <w:uiPriority w:val="39"/>
    <w:pPr>
      <w:widowControl/>
      <w:bidi w:val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a4"/>
    <w:qFormat/>
    <w:pPr/>
    <w:rPr>
      <w:rFonts w:ascii="Segoe UI" w:hAnsi="Segoe UI"/>
      <w:sz w:val="18"/>
    </w:rPr>
  </w:style>
  <w:style w:type="paragraph" w:styleId="13" w:customStyle="1">
    <w:name w:val="Гиперссылка1"/>
    <w:basedOn w:val="14"/>
    <w:link w:val="a5"/>
    <w:qFormat/>
    <w:pPr/>
    <w:rPr>
      <w:color w:val="0000FF"/>
      <w:u w:val="single"/>
    </w:rPr>
  </w:style>
  <w:style w:type="paragraph" w:styleId="Footnote1" w:customStyle="1">
    <w:name w:val="Footnote Text"/>
    <w:link w:val="Footnote0"/>
    <w:pPr>
      <w:widowControl/>
      <w:bidi w:val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1">
    <w:name w:val="TOC 1"/>
    <w:next w:val="Normal"/>
    <w:link w:val="15"/>
    <w:uiPriority w:val="39"/>
    <w:pPr>
      <w:widowControl/>
      <w:bidi w:val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"/>
    <w:link w:val="HeaderandFooter0"/>
    <w:qFormat/>
    <w:pPr>
      <w:widowControl/>
      <w:bidi w:val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a7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tents9">
    <w:name w:val="TOC 9"/>
    <w:next w:val="Normal"/>
    <w:link w:val="90"/>
    <w:uiPriority w:val="39"/>
    <w:pPr>
      <w:widowControl/>
      <w:bidi w:val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8">
    <w:name w:val="TOC 8"/>
    <w:next w:val="Normal"/>
    <w:link w:val="80"/>
    <w:uiPriority w:val="39"/>
    <w:pPr>
      <w:widowControl/>
      <w:bidi w:val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5">
    <w:name w:val="TOC 5"/>
    <w:next w:val="Normal"/>
    <w:link w:val="52"/>
    <w:uiPriority w:val="39"/>
    <w:pPr>
      <w:widowControl/>
      <w:bidi w:val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a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ubtitle">
    <w:name w:val="Subtitle"/>
    <w:next w:val="Normal"/>
    <w:link w:val="ab"/>
    <w:uiPriority w:val="11"/>
    <w:qFormat/>
    <w:pPr>
      <w:widowControl/>
      <w:bidi w:val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ad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rameContents">
    <w:name w:val="Frame Contents"/>
    <w:basedOn w:val="Normal"/>
    <w:qFormat/>
    <w:pPr/>
    <w:rPr/>
  </w:style>
  <w:style w:type="paragraph" w:styleId="ListParagraph">
    <w:name w:val="List Paragraph"/>
    <w:basedOn w:val="Normal"/>
    <w:qFormat/>
    <w:pPr>
      <w:spacing w:before="119" w:after="0"/>
      <w:ind w:left="820" w:hanging="708"/>
      <w:jc w:val="both"/>
    </w:pPr>
    <w:rPr/>
  </w:style>
  <w:style w:type="paragraph" w:styleId="LOnormal">
    <w:name w:val="LO-normal"/>
    <w:qFormat/>
    <w:pPr>
      <w:widowControl w:val="false"/>
      <w:overflowPunct w:val="fals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Trio_Office/6.2.8.2$Windows_x86 LibreOffice_project/</Application>
  <Pages>4</Pages>
  <Words>1268</Words>
  <Characters>9245</Characters>
  <CharactersWithSpaces>10836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2025-11-10T17:07:00Z</dcterms:created>
  <dc:creator/>
  <dc:description/>
  <dc:language>ru-RU</dc:language>
  <cp:lastModifiedBy/>
  <dcterms:modified xsi:type="dcterms:W3CDTF">2025-11-11T05:15:48Z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